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2-3834</w:t>
      </w:r>
      <w:r>
        <w:rPr>
          <w:rFonts w:ascii="Times New Roman" w:eastAsia="Times New Roman" w:hAnsi="Times New Roman" w:cs="Times New Roman"/>
        </w:rPr>
        <w:t>-2601/25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Найчук Ларисе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Найчук Ларисе Николаевне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Найчук Ларисы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сети», ИНН </w:t>
      </w:r>
      <w:r>
        <w:rPr>
          <w:rStyle w:val="cat-PhoneNumbergrp-22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</w:t>
      </w:r>
      <w:r>
        <w:rPr>
          <w:rFonts w:ascii="Times New Roman" w:eastAsia="Times New Roman" w:hAnsi="Times New Roman" w:cs="Times New Roman"/>
          <w:sz w:val="26"/>
          <w:szCs w:val="26"/>
        </w:rPr>
        <w:t>унальных услуг за период с 01.08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>024 по 31.12.2024 в сумме 18 561 рубль 48 копеек, пени за период с 11.09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24 по 30.05.2025 в размере 1 743 рубля 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с последующим их начислением на сумму основного дол</w:t>
      </w:r>
      <w:r>
        <w:rPr>
          <w:rFonts w:ascii="Times New Roman" w:eastAsia="Times New Roman" w:hAnsi="Times New Roman" w:cs="Times New Roman"/>
          <w:sz w:val="26"/>
          <w:szCs w:val="26"/>
        </w:rPr>
        <w:t>га 18561,48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день фактической оплаты долга с учетом 1/130 ставки рефинансирования Центрального Банка РФ, за каждый день неисполнения денежного обязательства,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2-3834</w:t>
      </w:r>
      <w:r>
        <w:rPr>
          <w:rFonts w:ascii="Times New Roman" w:eastAsia="Times New Roman" w:hAnsi="Times New Roman" w:cs="Times New Roman"/>
          <w:sz w:val="16"/>
          <w:szCs w:val="16"/>
        </w:rPr>
        <w:t>-2601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honeNumbergrp-22rplc-15">
    <w:name w:val="cat-PhoneNumber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